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32D" w:rsidRDefault="0046332D" w:rsidP="0046332D">
      <w:pPr>
        <w:pStyle w:val="NormalWeb"/>
        <w:shd w:val="clear" w:color="auto" w:fill="FFFFFF"/>
        <w:spacing w:before="0" w:beforeAutospacing="0" w:after="150" w:afterAutospacing="0"/>
        <w:jc w:val="center"/>
        <w:rPr>
          <w:b/>
          <w:color w:val="000000"/>
          <w:sz w:val="33"/>
          <w:szCs w:val="33"/>
        </w:rPr>
      </w:pPr>
      <w:r w:rsidRPr="0046332D">
        <w:rPr>
          <w:b/>
          <w:color w:val="000000"/>
          <w:sz w:val="33"/>
          <w:szCs w:val="33"/>
        </w:rPr>
        <w:t>Những Chính sách Pháp luật quan trọng có hiệu lực trong</w:t>
      </w:r>
    </w:p>
    <w:p w:rsidR="0046332D" w:rsidRPr="0046332D" w:rsidRDefault="0046332D" w:rsidP="0046332D">
      <w:pPr>
        <w:pStyle w:val="NormalWeb"/>
        <w:shd w:val="clear" w:color="auto" w:fill="FFFFFF"/>
        <w:spacing w:before="0" w:beforeAutospacing="0" w:after="150" w:afterAutospacing="0"/>
        <w:jc w:val="center"/>
        <w:rPr>
          <w:b/>
          <w:color w:val="000000"/>
          <w:sz w:val="33"/>
          <w:szCs w:val="33"/>
        </w:rPr>
      </w:pPr>
      <w:r w:rsidRPr="0046332D">
        <w:rPr>
          <w:b/>
          <w:color w:val="000000"/>
          <w:sz w:val="33"/>
          <w:szCs w:val="33"/>
        </w:rPr>
        <w:t>tháng 3 năm 2024</w:t>
      </w:r>
    </w:p>
    <w:p w:rsidR="002B7381" w:rsidRDefault="002B7381" w:rsidP="002B7381">
      <w:pPr>
        <w:pStyle w:val="NormalWeb"/>
        <w:shd w:val="clear" w:color="auto" w:fill="FFFFFF"/>
        <w:spacing w:before="0" w:beforeAutospacing="0" w:after="150" w:afterAutospacing="0"/>
        <w:jc w:val="both"/>
        <w:rPr>
          <w:rFonts w:ascii="Helvetica" w:hAnsi="Helvetica"/>
          <w:color w:val="2E2E2E"/>
          <w:sz w:val="21"/>
          <w:szCs w:val="21"/>
        </w:rPr>
      </w:pPr>
      <w:r>
        <w:rPr>
          <w:color w:val="000000"/>
          <w:sz w:val="33"/>
          <w:szCs w:val="33"/>
        </w:rPr>
        <w:t>Hội đồng tuyên truyền phổ biến, giáo dục pháp luật xã Xuân Lĩnh giới thiệu chính sách pháp luật quan trọng có hiệu lực trong tháng 3 năm 2024</w:t>
      </w:r>
    </w:p>
    <w:p w:rsidR="002B7381" w:rsidRDefault="002B7381" w:rsidP="002B7381">
      <w:pPr>
        <w:pStyle w:val="NormalWeb"/>
        <w:shd w:val="clear" w:color="auto" w:fill="FFFFFF"/>
        <w:spacing w:before="0" w:beforeAutospacing="0" w:after="150" w:afterAutospacing="0"/>
        <w:ind w:hanging="142"/>
        <w:jc w:val="center"/>
        <w:rPr>
          <w:rFonts w:ascii="Helvetica" w:hAnsi="Helvetica"/>
          <w:color w:val="2E2E2E"/>
          <w:sz w:val="21"/>
          <w:szCs w:val="21"/>
        </w:rPr>
      </w:pPr>
      <w:r>
        <w:rPr>
          <w:color w:val="2E2E2E"/>
          <w:sz w:val="28"/>
          <w:szCs w:val="28"/>
        </w:rPr>
        <w:t> </w:t>
      </w:r>
      <w:r>
        <w:rPr>
          <w:noProof/>
          <w:color w:val="2E2E2E"/>
          <w:sz w:val="28"/>
          <w:szCs w:val="28"/>
        </w:rPr>
        <w:drawing>
          <wp:inline distT="0" distB="0" distL="0" distR="0">
            <wp:extent cx="4152900" cy="3771900"/>
            <wp:effectExtent l="19050" t="0" r="0" b="0"/>
            <wp:docPr id="1" name="Picture 1" descr="http://xuanan.nghixuan.hatinh.gov.vn/upload/105329/fck/adminttxuanan/1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uanan.nghixuan.hatinh.gov.vn/upload/105329/fck/adminttxuanan/1221.png"/>
                    <pic:cNvPicPr>
                      <a:picLocks noChangeAspect="1" noChangeArrowheads="1"/>
                    </pic:cNvPicPr>
                  </pic:nvPicPr>
                  <pic:blipFill>
                    <a:blip r:embed="rId4"/>
                    <a:srcRect/>
                    <a:stretch>
                      <a:fillRect/>
                    </a:stretch>
                  </pic:blipFill>
                  <pic:spPr bwMode="auto">
                    <a:xfrm>
                      <a:off x="0" y="0"/>
                      <a:ext cx="4152900" cy="3771900"/>
                    </a:xfrm>
                    <a:prstGeom prst="rect">
                      <a:avLst/>
                    </a:prstGeom>
                    <a:noFill/>
                    <a:ln w="9525">
                      <a:noFill/>
                      <a:miter lim="800000"/>
                      <a:headEnd/>
                      <a:tailEnd/>
                    </a:ln>
                  </pic:spPr>
                </pic:pic>
              </a:graphicData>
            </a:graphic>
          </wp:inline>
        </w:drawing>
      </w:r>
    </w:p>
    <w:p w:rsidR="002B7381" w:rsidRDefault="002B7381" w:rsidP="002B7381">
      <w:pPr>
        <w:pStyle w:val="NormalWeb"/>
        <w:shd w:val="clear" w:color="auto" w:fill="FFFFFF"/>
        <w:spacing w:before="0" w:beforeAutospacing="0" w:after="150" w:afterAutospacing="0"/>
        <w:ind w:hanging="142"/>
        <w:jc w:val="both"/>
        <w:rPr>
          <w:rFonts w:ascii="Helvetica" w:hAnsi="Helvetica"/>
          <w:color w:val="2E2E2E"/>
          <w:sz w:val="21"/>
          <w:szCs w:val="21"/>
        </w:rPr>
      </w:pPr>
      <w:r>
        <w:rPr>
          <w:rStyle w:val="Strong"/>
          <w:color w:val="2E2E2E"/>
          <w:sz w:val="28"/>
          <w:szCs w:val="28"/>
        </w:rPr>
        <w:t>         </w:t>
      </w:r>
      <w:r>
        <w:rPr>
          <w:rStyle w:val="Strong"/>
          <w:color w:val="000000"/>
          <w:sz w:val="28"/>
          <w:szCs w:val="28"/>
        </w:rPr>
        <w:t> </w:t>
      </w:r>
      <w:r>
        <w:rPr>
          <w:rStyle w:val="Strong"/>
          <w:color w:val="000000"/>
          <w:sz w:val="33"/>
          <w:szCs w:val="33"/>
        </w:rPr>
        <w:t>1. </w:t>
      </w:r>
      <w:r>
        <w:rPr>
          <w:rStyle w:val="Strong"/>
          <w:color w:val="000000"/>
          <w:sz w:val="33"/>
          <w:szCs w:val="33"/>
          <w:bdr w:val="none" w:sz="0" w:space="0" w:color="auto" w:frame="1"/>
        </w:rPr>
        <w:t>Nhiều ưu đãi, hỗ trợ đầu tư vào khu công nghệ cao</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Theo Nghị định số 10/2024/NĐ-CP quy định về khu công nghệ cao, có hiệu lực từ ngày 25/3, có nhiều chính sách ưu đãi, hỗ trợ đầu tư vào khu công nghệ cao như: Chính sách ưu đãi, hỗ trợ đầu tư đối với các dự án đầu tư vào khu công nghệ cao; cơ chế khuyến khích đầu tư xây dựng và kinh doanh kết cấu hạ tầng kỹ thuật; chính sách phát triển hạ tầng xã hội phục vụ người lao động trong khu công nghệ cao; chính sách đối với hoạt động nghiên cứu phát triển công nghệ cao, ươm tạo công nghệ cao, ươm tạo doanh nghiệp công nghệ cao và đào tạo nhân lực công nghệ cao...</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xml:space="preserve">Các dự án đầu tư và hoạt động tại khu công nghệ cao được ưu tiên tham gia chương trình hỗ trợ đào tạo, tuyển dụng lao động; hỗ trợ </w:t>
      </w:r>
      <w:r>
        <w:rPr>
          <w:color w:val="000000"/>
          <w:sz w:val="33"/>
          <w:szCs w:val="33"/>
        </w:rPr>
        <w:lastRenderedPageBreak/>
        <w:t>hoạt động nghiên cứu, ứng dụng công nghệ cao, chuyển giao công nghệ; hỗ trợ phát triển các ngành công nghiệp công nghệ cao, phát triển công nghệ cao trong nông nghiệp; hỗ trợ doanh nghiệp đổi mới sáng tạo, doanh nghiệp nhỏ và vừa khởi nghiệp sáng tạo; hỗ trợ vốn vay và các chương trình hỗ trợ khác của Chính phủ, các bộ, ngành, địa phương.</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Ngoài ra, về cơ chế khuyến khích đầu tư xây dựng và kinh doanh kết cấu hạ tầng kỹ thuật, Nghị định quy định Nhà nước khuyến khích các tổ chức, cá nhân có đủ kinh nghiệm, năng lực tham gia đầu tư xây dựng và kinh doanh kết cấu hạ tầng khu công nghệ cao, bao gồm: đầu tư xây dựng và kinh doanh toàn bộ hệ thống kết cấu hạ tầng kỹ thuật khu công nghệ cao, hoặc một phần hệ thống kết cấu hạ tầng kỹ thuật khu công nghệ cao.</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rStyle w:val="Strong"/>
          <w:color w:val="000000"/>
          <w:sz w:val="33"/>
          <w:szCs w:val="33"/>
          <w:bdr w:val="none" w:sz="0" w:space="0" w:color="auto" w:frame="1"/>
        </w:rPr>
        <w:t>2. Tăng trần giá vé máy bay nội địa</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Bộ Giao thông vận tải vừa ban hành Thông tư số 34/2023/TT-BGTVT về sửa đổi, bổ sung một số điều của Thông tư số 17/2019/TT-BGTVT ban hành khung giá dịch vụ vận chuyển hành khách trên các đường bay nội địa. Thông tư 34/2023/TT-BGTVT có hiệu lực từ ngày 1/3.</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Theo đó, Thông tư sửa đổi khung giá dịch vụ vận chuyển hành khách hạng phổ thông cơ bản. Các đường bay có khoảng cách dưới 500km có mức giá trần là 1,6 triệu đồng/vé/chiều với đường bay phát triển kinh tế-xã hội và 1,7 triệu đồng/vé/chiều với các đường bay khác.</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Các nhóm đường bay còn lại chịu mức tăng giá từ 50.000-250.000 đồng/vé/chiều so với quy định cũ, phụ thuộc vào độ dài từng đường bay.</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xml:space="preserve">Cụ thể, với đường bay từ 500km đến dưới 850km có mức giá trần là 2,25 triệu đồng/vé/chiều (giá cũ là 2,2 triệu đồng/vé/chiều); đường bay có khoảng cách từ 850 km đến dưới 1.000 km có giá vé tối đa là 2,89 triệu đồng/vé/chiều (giá cũ là 2,79 triệu đồng/vé/chiều); đường bay từ 1.000km đến dưới 1.280km có giá trần là 3,4 triệu đồng/vé/chiều (giá cũ là 3,2 triệu đồng/vé/chiều) và đường bay có </w:t>
      </w:r>
      <w:r>
        <w:rPr>
          <w:color w:val="000000"/>
          <w:sz w:val="33"/>
          <w:szCs w:val="33"/>
        </w:rPr>
        <w:lastRenderedPageBreak/>
        <w:t>khoảng cách từ 1.280 km trở lên là 4 triệu đồng/vé/chiều (giá cũ là 3,75 triệu đồng/vé/chiều).</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Mức giá tối đa đã bao gồm toàn bộ chi phí hành khách phải trả cho một vé máy bay, trừ thuế giá trị gia tăng và các khoản thu hộ cho cảng hàng không (bao gồm giá phục vụ hành khách và giá đảm bảo an ninh hành khách, hành lý; khoản giá dịch vụ với các hạng mục tăng thêm).</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rStyle w:val="Strong"/>
          <w:color w:val="000000"/>
          <w:sz w:val="33"/>
          <w:szCs w:val="33"/>
          <w:bdr w:val="none" w:sz="0" w:space="0" w:color="auto" w:frame="1"/>
        </w:rPr>
        <w:t>3. Chuẩn quốc gia đối với cơ sở giáo dục đại học</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Bộ Giáo dục và Đào tạo ban hành Thông tư số 01/2024/TT-BGDĐT quy định chuẩn quốc gia đối với cơ sở giáo dục đại học. Thông tư này có hiệu lực thi hành kể từ ngày 22/3 và bãi bỏ Thông tư số 24/2015/TT-BGDĐT của Bộ trưởng Bộ Giáo dục và Đào tạo quy định chuẩn quốc gia đối với cơ sở giáo dục đại học.</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Chuẩn cơ sở giáo dục đại học là cơ sở để thực hiện quy hoạch, sắp xếp mạng lưới cơ sở giáo dục đại học; đánh giá và giám sát các điều kiện bảo đảm chất lượng, việc thực hiện trách nhiệm giải trình của các cơ sở giáo dục đại học theo quy định của pháp luật.</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Chuẩn cơ sở giáo dục đại học bao gồm 6 tiêu chuẩn với 20 tiêu chí. Cụ thể, Tiêu chuẩn 1: Tổ chức và quản trị gồm 4 tiêu chí; Tiêu chuẩn 2: Giảng viên gồm 3 tiêu chí; Tiêu chuẩn 3: Cơ sở vật chất gồm 4 tiêu chí; Tiêu chuẩn 4: Tài chính gồm 2 tiêu chí; Tiêu chuẩn 5: Tuyển sinh và đào tạo gồm 5 tiêu chí; Tiêu chuẩn 6: Nghiên cứu và đổi mới sáng tạo gồm 2 tiêu chí.</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Bộ Giáo dục và Đào tạo hướng dẫn các cơ sở giáo dục đại học cung cấp, cập nhật dữ liệu phục vụ việc xác định các chỉ số và đánh giá mức độ đáp ứng các tiêu chí của chuẩn cơ sở giáo dục đại học vào hệ thống cơ sở dữ liệu về giáo dục đại học.Công bố kết quả thực hiện chuẩn cơ sở giáo dục đại học của các cơ sở giáo dục đại học trước ngày 30/6 hằng năm, bắt đầu từ năm 2025 cho năm báo cáo trước liền kề.</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rStyle w:val="Strong"/>
          <w:color w:val="000000"/>
          <w:sz w:val="33"/>
          <w:szCs w:val="33"/>
        </w:rPr>
        <w:t>4. Thu phí khai thác sử dụng tài liệu địa chất, khoáng sản</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lastRenderedPageBreak/>
        <w:t>Ngày 5/2/2024, Bộ Tài chính đã ban hành Thông tư số 11/2024/TT-BTC quy định mức thu, chế độ thu, nộp, quản lý và sử dụng phí khai thác và sử dụng tài liệu địa chất, khoáng sản. Thông tư này có hiệu lực thi hành kể từ ngày 21/3/2024.</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Theo Thông tư, tổ chức thu phí là các cơ quan có thẩm quyền cung cấp tài liệu địa chất, khoáng sản theo quy định của pháp luật.</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Người nộp phí thực hiện nộp phí khi nhận kết quả tài liệu địa chất, khoáng sản từ cơ quan cung cấp tài liệu địa chất, khoáng sản; phí nộp cho tổ chức thu phí theo hình thức quy định tại Thông tư số 74/2022/TT-BTC của Bộ trưởng Bộ Tài chính.</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Tổ chức thu phí được trích để lại 60% số tiền phí thu được để trang trải chi phí cho hoạt động cung cấp dịch vụ, thu phí theo quy định tại khoản 4 Điều 1 Nghị định số 82/2023/NĐ-CP của Chính phủ sửa đổi, bổ sung một số điều của Nghị định số 120/2016/NĐ-CP quy định chi tiết và hướng dẫn thi hành một số điều của Luật Phí và lệ phí và nộp 40% số tiền phí thu được vào ngân sách nhà nước.</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Trường hợp tổ chức thu phí là cơ quan nhà nước không thuộc diện được khoán chi phí hoạt động từ nguồn thu phí theo quy định tại khoản 3 Điều 1 Nghị định số 82/2023/NĐ-CP nộp toàn bộ tiền phí thu được vào ngân sách nhà nước. Nguồn chi phí trang trải cho hoạt động cung cấp dịch vụ, thu phí do ngân sách nhà nước bố trí trong dự toán của tổ chức thu theo chế độ, định mức chi ngân sách nhà nước theo quy định của pháp luật.</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b/>
          <w:bCs/>
          <w:color w:val="000000"/>
          <w:sz w:val="33"/>
          <w:szCs w:val="33"/>
        </w:rPr>
        <w:t>5.</w:t>
      </w:r>
      <w:r>
        <w:rPr>
          <w:color w:val="000000"/>
          <w:sz w:val="33"/>
          <w:szCs w:val="33"/>
        </w:rPr>
        <w:t> </w:t>
      </w:r>
      <w:r>
        <w:rPr>
          <w:rStyle w:val="Strong"/>
          <w:color w:val="000000"/>
          <w:sz w:val="33"/>
          <w:szCs w:val="33"/>
        </w:rPr>
        <w:t>Mạng truyền số liệu chuyên dùng phục vụ các cơ quan Đảng, Nhà nước</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Ngày 25/12/2023, Bộ trưởng Bộ Thông tin và Truyền thông ban hành Thông tư 19/2023/TT-BTTTT hướng dẫn Quyết định 08/2023/QĐ-TTg về Mạng truyền số liệu chuyên dùng phục vụ các cơ quan Đảng, Nhà nước. Cơ quan Đảng, Nhà nước phối hợp Cục Bưu điện Trung ương thực hiện kết nối liên thông các cấp hành chính theo các mô hình sau:</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(1) Mô hình kết nối tổng quan</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lastRenderedPageBreak/>
        <w:t>+ Hướng dẫn kết nối mạng trục, mạng truy nhập cấp I và mạng truy nhập cấp II;</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Cục Bưu điện Trung ương triển khai kết nối mạng trục, mạng truy nhập cấp I tối thiểu bằng 02 (hai) kênh truyền cáp quang theo 02 (hai) hướng vật lý khác nhau; thiết lập mạng riêng ảo trên cổng kết nối để kết nối các hệ thống thông tin với nhau;</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Bộ, ban, ngành, địa phương triển khai kết nối mạng truy nhập cấp H, kết nối hệ thống thông tin quốc gia do bộ, ban, ngành, địa phương quản lý đến Mạng truyền số liệu chuyên dùng bằng kênh truyền tự xây dựng hoặc thuê dịch vụ kênh riêng trực tiếp hoặc kênh riêng ảo của doanh nghiệp viễn thông; phối hợp Cục Bưu điện Trung ương thiết lập điểm tập trung lưu lượng tại cổng kết nối để kết nối các đối tượng sử dụng của mạng truy nhập cấp II;</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Mạng truyền số liệu chuyên dùng là hạ tầng truyền dẫn trong kết nối, liên thông các hệ thống thông tin phục vụ Chính phủ số;</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Kênh truyền phải bảo đảm mức chiếm dụng băng thông của các hướng kết nối &lt; 90%, căn cứ kết quả giám sát lưu lượng tất cả các hướng kết nói từ 00giờ00 đến 24giờ 00 hàng ngày trong thời gian tối thiểu 03 (ba) tháng liên tiếp, thời gian mỗi mẫu giám sát là 05 (năm) phút;</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Mô hình kết nối tổng quan thể hiện bằng sơ đồ tại Mô hình 01 của Phụ lục I ban hành kèm Thông tư 19/2023/TT-BTTTT.</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(2) Mô hình kết nối trung tâm dữ liệu đặt tại bộ, ban, ngành, địa phương với Mạng truyền số liệu chuyên dùng:</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Áp dụng cho trung tâm dữ liệu do bộ, ban, ngành, địa phương tự đầu tư và đặt thiết bị tại trụ sở bộ, ban, ngành, địa phương;</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Bộ, ban, ngành, địa phương triển khai tối thiểu 02 (hai) kênh truyền cáp quang theo 02 (hai) hướng vật lý khác nhau kết nối từ thiết bị định tuyến của trung tâm dữ liệu đến cổng kết nối;</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xml:space="preserve">+ Kênh truyền phải bảo đảm mức chiếm dụng băng thông của các hướng kết nối &lt; 90%, căn cứ kết quả giám sát lưu lượng tất cả các hướng kết nối từ 00giờ00 đến 24giờ00 hàng ngày trong thời gian tối </w:t>
      </w:r>
      <w:r>
        <w:rPr>
          <w:color w:val="000000"/>
          <w:sz w:val="33"/>
          <w:szCs w:val="33"/>
        </w:rPr>
        <w:lastRenderedPageBreak/>
        <w:t>thiểu 03 (ba) tháng liên tiếp, thời gian mỗi mẫu giám sát là 05 (năm) phút;</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Cục Bưu điện Trung ương phối hợp bộ, ban, ngành, địa phương thiết lập chính sách kết nói trên cổng kết nối và thiết bị định tuyến tại trung tâm dữ liệu;</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Mô hình kết nối trung tâm dữ liệu đặt tại bộ, ban, ngành, địa phương với Mạng truyền số liệu chuyên dùng thể hiện bằng sơ đồ tại Mô hình 02 của Phụ lục I ban hành kèm Thông tư 19/2023/TT-BTTTT.</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(3) Mô hình kết nối trung tâm dữ liệu đặt tại doanh nghiệp viễn thông với Mạng truyền số liệu chuyên dùng:</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Áp dụng cho trung tâm dữ liệu do bộ, ban, ngành, địa phương tự đầu tư, thuê đặt thiết bị tại doanh nghiệp viễn thông hoặc do bộ, ban, ngành, địa phương thuê thiết bị và đặt tại doanh nghiệp viễn thông;</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Doanh nghiệp viễn thông triển khai tối thiểu 02 (hai) kênh truyền cáp quang theo 02 (hai) hướng vật lý khác nhau kết nối từ thiết bị định tuyến tại phân vùng trung tâm dữ liệu của doanh nghiệp viễn thông đến cổng kết nối;</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Kênh truyền phải bảo đảm mức chiếm dụng băng thông của các hướng kết nối &lt; 90%, căn cứ kết quả giám sát lưu lượng tất cả các hướng kết nối từ 00giờ00 đến 24giờ00 hàng ngày trong thời gian tối thiểu 03 (ba) tháng liên tiếp, thời gian mỗi mẫu giám sát là 05 (năm) phút;</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Cục Bưu điện Trung ương phối hợp với doanh nghiệp viễn thông thiết lập chính sách kết nối trên cổng kết nối và thiết bị định tuyến tại phân vùng trung tâm dữ liệu;</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Mô hình kết nối trung tâm dữ liệu đặt tại doanh nghiệp viễn thông với Mạng truyền số liệu chuyên dùng thể hiện bằng sơ đồ tại Mô hình 03 của Phụ lục I ban hành kèm Thông tư 19/2023/TT-BTTTT.</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(4) Mô hình kết nối các cơ quan, tổ chức tại địa phương với Mạng truyền số liệu chuyên dùng:</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lastRenderedPageBreak/>
        <w:t>+ Áp dụng cho địa phương triển khai mạng diện rộng kết hợp Mạng truyền số liệu chuyên dùng đề kết nối các cơ quan, tổ chức trên địa bàn;</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Kết nối các cơ quan, tổ chức là đối tượng sử dụng của mạng truy nhập cấp I và mạng truy nhập cấp II theo quy định tại khoản 1 Điều 7 Thông tư 19/2023/TT-BTTTT;</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Địa phương thiết lập phân vùng mạng kết nối các đơn vị không thuộc đối tượng sử dụng với Mạng truyền số liệu chuyên dùng qua trung tâm dữ liệu của mình; sử dụng địa chỉ IP cho phân vùng mạng này không trùng với địa chỉ IP của Mạng truyền số liệu chuyên dùng;</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Trung tâm dữ liệu của địa phương là điểm trung chuyển lưu lượng giữa mạng truy nhập cấp I, mạng truy nhập cấp II và phân vùng mạng kết nối các đơn vị không thuộc đối tượng sử dụng;</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Kênh truyền phải bảo đảm mức chiếm dụng băng thông của các hướng kết nối &lt; 90%, căn cứ kết quả giám sát lưu lượng tất cả các hướng kết nối từ 00giờ00 đến 24giờ00 hàng ngày trong thời gian tối thiểu 03 (ba) tháng liên tiếp, thời gian mỗi mẫu giám sát là 05 (năm) phút;</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Cục Bưu điện Trung ương phối hợp với địa phương thiết lập các chính sách định tuyến giữa 02 (hai) mạng qua cổng kết nối và thiết bị định tuyến tại trung tâm dữ liệu;</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Mô hình kết nối các cơ quan, tổ chức tại địa phương với Mạng truyền số liệu chuyên dùng thể hiện bằng sơ đồ tại Mô hình 04 của Phụ lục I ban hành kèm Thông tư 19/2023/TT-BTTTT.</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(5) Mô hình kết nối mạng viễn thông khác với Mạng truyền số liệu chuyên dùng:</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Chủ quản mạng viễn thông khác thiết lập và sử dụng kênh kết nối bằng cáp quang hoặc thuê dịch vụ kênh riêng trực tiếp hoặc kênh riêng ảo của doanh nghiệp viễn thông để kết nối từ mạng viễn thông khác vào cổng kết nối Mạng truyền số liệu chuyên dùng;</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xml:space="preserve">+ Kênh truyền phải bảo đảm mức chiếm dụng băng thông của các hướng kết nối &lt; 90%, căn cứ kết quả giám sát lưu lượng tất cả các </w:t>
      </w:r>
      <w:r>
        <w:rPr>
          <w:color w:val="000000"/>
          <w:sz w:val="33"/>
          <w:szCs w:val="33"/>
        </w:rPr>
        <w:lastRenderedPageBreak/>
        <w:t>hướng kết nối từ 00giờ00 đến 24giờ 00 hàng ngày trong thời gian tối thiểu 03 (ba) tháng liên tiếp, thời gian mỗi mẫu giám sát là 05 (năm) phút;</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Cục Bưu điện Trung ương và đơn vị chủ quản mạng viễn thông khác phối hợp thiết lập các chính sách định tuyến giữa 02 (hai) mạng thông qua cổng kết nối và thiết bị chuyên đổi địa chỉ IP của mạng viễn thông khác;</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Mô hình kết nối mạng viễn thông khác với Mạng truyền số liệu chuyên dùng thể hiện bằng sơ đồ tại Mô hình 05 của Phụ lục I ban hành kèm Thông tư 19/2023/TT-BTTTT.</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Thông tư 19/2023/TT-BTTTT có hiệu lực từ ngày 01/03/2024 và thay thế Thông tư 27/2017/TT-BTTTT ngày 20/10/2017, Thông tư 12/2019/TT-BTTTT ngày 05/11/2019.</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b/>
          <w:bCs/>
          <w:color w:val="000000"/>
          <w:sz w:val="33"/>
          <w:szCs w:val="33"/>
        </w:rPr>
        <w:t>6.</w:t>
      </w:r>
      <w:r>
        <w:rPr>
          <w:color w:val="000000"/>
          <w:sz w:val="33"/>
          <w:szCs w:val="33"/>
        </w:rPr>
        <w:t> </w:t>
      </w:r>
      <w:r>
        <w:rPr>
          <w:rStyle w:val="Strong"/>
          <w:color w:val="000000"/>
          <w:sz w:val="33"/>
          <w:szCs w:val="33"/>
        </w:rPr>
        <w:t>Quy định về quản lý đường bộ qua biên giới</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Ngày 13 tháng 12 năm 2023, Bộ Giao thông vận tải đã ban hành Thông tư số 37/2023/TT-BGTVT về quản lý hoạt động vận tải đường bộ qua biên giới.</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Thông tư này quy định về phương tiện vận tải, lái xe, nhân viên phục vụ trên xe, danh sách cửa khẩu và tuyến đường vận tải thực hiện hoạt động vận tải đường bộ giữa Việt Nam và các nước trong khuôn khổ hiệp định đa phương ASEAN, Tiểu vùng Mê Công mở rộng và Campuchia - Lào - Việt Nam, khuôn khổ hiệp định song phương với Trung Quốc, Lào, Campuchia.</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Thông tư số 37/2023/TT-BGTVT áp dụng đối với các cơ quan, tổ chức và cá nhân có liên quan đến hoạt động vận tải bằng đường bộ qua biên giới giữa Việt Nam và các nước trong khuôn khổ hiệp định đa phương ASEAN, Tiểu vùng Mê Công mở rộng và Campuchia - Lào - Việt Nam, khuôn khổ hiệp định song phương với Trung Quốc, Lào, Campuchia.</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rStyle w:val="Emphasis"/>
          <w:color w:val="000000"/>
          <w:sz w:val="33"/>
          <w:szCs w:val="33"/>
        </w:rPr>
        <w:t>* Đối với hoạt động vận tải đường bộ giữa Việt Nam và các nước trong khuôn khổ hiệp định tạo thuận lợi vận tải ASEAN</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lastRenderedPageBreak/>
        <w:t>Thông tư quy định, phương tiện vận tải qua lại biên giới phải có các giấy tờ hợp lệ, còn hiệu lực và xuất trình cho các cơ quan có thẩm quyền khi được yêu cầu, bao gồm: </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Giấy chứng nhận đăng ký xe; </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Giấy chứng nhận kiểm định an toàn kỹ thuật và bảo vệ môi trường; </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Giấy phép liên vận ASEAN; Giấy phép vận tải đường bộ quốc tế ASEAN (bản sao có chứng thực hoặc công chứng);</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Giấy chứng nhận bảo hiểm trách nhiệm dân sự của chủ xe cơ giới đối với người thứ ba; </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Tờ khai phương tiện vận tải đường bộ tạm nhập - tái xuất hoặc Tờ khai phương tiện vận tải đường bộ tạm xuất - tái nhập; </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Danh sách hành khách đối với phương tiện vận chuyển hành khách theo tuyến cố định theo mẫu quy định tại Phụ lục IV hoặc Danh sách hành khách đối với phương tiện vận chuyển hành khách hợp đồng và vận tải khách du lịch theo mẫu quy định tại Phụ lục V ban hành kèm theo Thông tư này hoặc Phiếu gửi hàng đối với phương tiện vận tải hàng hóa; </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Chứng từ quá cảnh hải quan cho hàng hóa đối với phương tiện vận chuyển hàng hóa quá cảnh.</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Cũng theo Thông tư, lái xe qua lại biên giới phải mang theo các giấy tờ hợp lệ, còn hiệu lực khi xuất, nhập cảnh tại cửa khẩu và chịu sự kiểm tra, kiểm soát của các cơ quan chuyên ngành tại cửa khẩu, bao gồm:</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Hộ chiếu hoặc giấy tờ đi lại quốc tế có giá trị thay hộ chiếu và thị thực do cơ quan có thẩm quyền cấp (trừ trường hợp được miễn thị thực);</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Giấy phép lái xe nội địa được các Bên công nhận theo Hiệp định về công nhận giấy phép lái xe nội địa được ký kết bởi các nước thành viên ASEAN tại Kua-la Lăm-pơ vào ngày 09 tháng 7 năm 1985.</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lastRenderedPageBreak/>
        <w:t>Nhân viên phục vụ trên xe qua lại biên giới phải mang theo hộ chiếu hoặc giấy tờ đi lại quốc tế có giá trị thay hộ chiếu và thị thực do cơ quan có thẩm quyền cấp (trừ trường hợp được miễn thị thực) còn hiệu lực khi xuất, nhập cảnh tại cửa khẩu và chịu sự kiểm tra, kiểm soát của các cơ quan chuyên ngành tại cửa khẩu.</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rStyle w:val="Emphasis"/>
          <w:color w:val="000000"/>
          <w:sz w:val="33"/>
          <w:szCs w:val="33"/>
        </w:rPr>
        <w:t>* Đối với hoạt động vận tải đường bộ giữa Việt Nam và các nước trong khuôn khổ hiệp định GMS</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Phương tiện vận tải qua lại biên giới phải có các giấy tờ hợp lệ, còn hiệu lực và xuất trình cho các cơ quan có thẩm quyền khi được yêu cầu, bao gồm:</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Giấy chứng nhận đăng ký xe;</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Giấy chứng nhận kiểm định an toàn kỹ thuật và bảo vệ môi trường;</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Giấy phép liên vận GMS và sổ theo dõi tạm nhập phương tiện vận tải (sau đây gọi là sổ TAD);</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Danh sách hành khách đối với phương tiện vận chuyển hành khách tuyến cố định theo mẫu tại Phụ lục IV hoặc Danh sách hành khách đối với phương tiện vận chuyển hành khách hợp đồng và vận tải khách du lịch theo mẫu tại Phụ lục V ban hành kèm theo Thông tư này hoặc Phiếu gửi hàng đối với phương tiện vận chuyển hàng hoá theo mẫu tại Phụ lục VI ban hành kèm theo Thông tư này.</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Giấy chứng nhận bảo hiểm trách nhiệm dân sự của chủ xe cơ giới đối với người thứ ba;</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Tờ khai phương tiện vận tải đường bộ tạm nhập - tái xuất hoặc Tờ khai phương tiện vận tải đường bộ tạm xuất - tái nhập.</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Lái xe qua lại biên giới phải mang theo các giấy tờ hợp lệ, còn hiệu lực khi xuất, nhập cảnh tại cửa khẩu và chịu sự kiểm tra, kiểm soát của các cơ quan chuyên ngành tại cửa khẩu như sau:</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 Hộ chiếu hoặc giấy tờ đi lại quốc tế có giá trị thay hộ chiếu và thị thực do cơ quan có thẩm quyền cấp (trừ trường hợp được miễn thị thực);</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lastRenderedPageBreak/>
        <w:t>- Giấy phép lái xe, đã được các Bên công nhận tại Hiệp định GMS. Tại thời điểm nhập cảnh vào Nước chủ nhà, giấy phép lái xe phải còn thời hạn ít nhất là hai tháng.</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Nhân viên phục vụ trên xe qua lại biên giới phải mang theo hộ chiếu hoặc giấy tờ đi lại quốc tế có giá trị thay hộ chiếu và thị thực do cơ quan có thẩm quyền cấp (trừ trường hợp được miễn thị thực) còn hiệu lực khi xuất, nhập cảnh tại cửa khẩu và chịu sự kiểm tra, kiểm soát của các cơ quan chuyên ngành tại cửa khẩu.</w:t>
      </w:r>
    </w:p>
    <w:p w:rsidR="002B7381" w:rsidRDefault="002B7381" w:rsidP="002B7381">
      <w:pPr>
        <w:pStyle w:val="NormalWeb"/>
        <w:shd w:val="clear" w:color="auto" w:fill="FFFFFF"/>
        <w:spacing w:before="0" w:beforeAutospacing="0" w:after="150" w:afterAutospacing="0"/>
        <w:ind w:firstLine="720"/>
        <w:jc w:val="both"/>
        <w:rPr>
          <w:rFonts w:ascii="Helvetica" w:hAnsi="Helvetica"/>
          <w:color w:val="2E2E2E"/>
          <w:sz w:val="21"/>
          <w:szCs w:val="21"/>
        </w:rPr>
      </w:pPr>
      <w:r>
        <w:rPr>
          <w:color w:val="000000"/>
          <w:sz w:val="33"/>
          <w:szCs w:val="33"/>
        </w:rPr>
        <w:t>Thông tư này có hiệu lực thi hành kể từ ngày 01 tháng 3 năm 2024./.</w:t>
      </w:r>
    </w:p>
    <w:p w:rsidR="002B7381" w:rsidRDefault="002B7381" w:rsidP="002B7381">
      <w:pPr>
        <w:pStyle w:val="NormalWeb"/>
        <w:shd w:val="clear" w:color="auto" w:fill="FFFFFF"/>
        <w:spacing w:before="60" w:beforeAutospacing="0" w:after="60" w:afterAutospacing="0"/>
        <w:ind w:firstLine="720"/>
        <w:jc w:val="both"/>
        <w:rPr>
          <w:rFonts w:ascii="Helvetica" w:hAnsi="Helvetica"/>
          <w:color w:val="2E2E2E"/>
          <w:sz w:val="21"/>
          <w:szCs w:val="21"/>
        </w:rPr>
      </w:pPr>
      <w:r>
        <w:rPr>
          <w:rFonts w:ascii="Helvetica" w:hAnsi="Helvetica"/>
          <w:color w:val="2E2E2E"/>
          <w:sz w:val="21"/>
          <w:szCs w:val="21"/>
        </w:rPr>
        <w:t> </w:t>
      </w:r>
    </w:p>
    <w:p w:rsidR="002B7381" w:rsidRDefault="002B7381" w:rsidP="002B7381">
      <w:pPr>
        <w:pStyle w:val="NormalWeb"/>
        <w:shd w:val="clear" w:color="auto" w:fill="FFFFFF"/>
        <w:spacing w:before="60" w:beforeAutospacing="0" w:after="60" w:afterAutospacing="0"/>
        <w:ind w:firstLine="720"/>
        <w:jc w:val="center"/>
        <w:rPr>
          <w:rFonts w:ascii="Helvetica" w:hAnsi="Helvetica"/>
          <w:color w:val="2E2E2E"/>
          <w:sz w:val="21"/>
          <w:szCs w:val="21"/>
        </w:rPr>
      </w:pPr>
      <w:r>
        <w:rPr>
          <w:b/>
          <w:bCs/>
          <w:color w:val="000000"/>
          <w:sz w:val="33"/>
          <w:szCs w:val="33"/>
          <w:shd w:val="clear" w:color="auto" w:fill="FFFFFF"/>
        </w:rPr>
        <w:t>- HẾT –</w:t>
      </w:r>
    </w:p>
    <w:p w:rsidR="00445A7D" w:rsidRDefault="0046332D"/>
    <w:sectPr w:rsidR="00445A7D" w:rsidSect="002B7381">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B7381"/>
    <w:rsid w:val="002B7381"/>
    <w:rsid w:val="0046332D"/>
    <w:rsid w:val="00757D72"/>
    <w:rsid w:val="00964088"/>
    <w:rsid w:val="00E26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6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3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7381"/>
    <w:rPr>
      <w:b/>
      <w:bCs/>
    </w:rPr>
  </w:style>
  <w:style w:type="character" w:styleId="Emphasis">
    <w:name w:val="Emphasis"/>
    <w:basedOn w:val="DefaultParagraphFont"/>
    <w:uiPriority w:val="20"/>
    <w:qFormat/>
    <w:rsid w:val="002B7381"/>
    <w:rPr>
      <w:i/>
      <w:iCs/>
    </w:rPr>
  </w:style>
  <w:style w:type="paragraph" w:styleId="BalloonText">
    <w:name w:val="Balloon Text"/>
    <w:basedOn w:val="Normal"/>
    <w:link w:val="BalloonTextChar"/>
    <w:uiPriority w:val="99"/>
    <w:semiHidden/>
    <w:unhideWhenUsed/>
    <w:rsid w:val="002B7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553129">
      <w:bodyDiv w:val="1"/>
      <w:marLeft w:val="0"/>
      <w:marRight w:val="0"/>
      <w:marTop w:val="0"/>
      <w:marBottom w:val="0"/>
      <w:divBdr>
        <w:top w:val="none" w:sz="0" w:space="0" w:color="auto"/>
        <w:left w:val="none" w:sz="0" w:space="0" w:color="auto"/>
        <w:bottom w:val="none" w:sz="0" w:space="0" w:color="auto"/>
        <w:right w:val="none" w:sz="0" w:space="0" w:color="auto"/>
      </w:divBdr>
      <w:divsChild>
        <w:div w:id="416442571">
          <w:marLeft w:val="0"/>
          <w:marRight w:val="0"/>
          <w:marTop w:val="0"/>
          <w:marBottom w:val="0"/>
          <w:divBdr>
            <w:top w:val="none" w:sz="0" w:space="0" w:color="auto"/>
            <w:left w:val="none" w:sz="0" w:space="0" w:color="auto"/>
            <w:bottom w:val="none" w:sz="0" w:space="0" w:color="auto"/>
            <w:right w:val="none" w:sz="0" w:space="0" w:color="auto"/>
          </w:divBdr>
          <w:divsChild>
            <w:div w:id="2039089146">
              <w:marLeft w:val="0"/>
              <w:marRight w:val="0"/>
              <w:marTop w:val="0"/>
              <w:marBottom w:val="0"/>
              <w:divBdr>
                <w:top w:val="none" w:sz="0" w:space="0" w:color="auto"/>
                <w:left w:val="none" w:sz="0" w:space="0" w:color="auto"/>
                <w:bottom w:val="none" w:sz="0" w:space="0" w:color="auto"/>
                <w:right w:val="none" w:sz="0" w:space="0" w:color="auto"/>
              </w:divBdr>
            </w:div>
          </w:divsChild>
        </w:div>
        <w:div w:id="1929773860">
          <w:marLeft w:val="0"/>
          <w:marRight w:val="0"/>
          <w:marTop w:val="0"/>
          <w:marBottom w:val="0"/>
          <w:divBdr>
            <w:top w:val="none" w:sz="0" w:space="0" w:color="auto"/>
            <w:left w:val="none" w:sz="0" w:space="0" w:color="auto"/>
            <w:bottom w:val="none" w:sz="0" w:space="0" w:color="auto"/>
            <w:right w:val="none" w:sz="0" w:space="0" w:color="auto"/>
          </w:divBdr>
          <w:divsChild>
            <w:div w:id="15760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2582</Words>
  <Characters>14724</Characters>
  <Application>Microsoft Office Word</Application>
  <DocSecurity>0</DocSecurity>
  <Lines>122</Lines>
  <Paragraphs>34</Paragraphs>
  <ScaleCrop>false</ScaleCrop>
  <Company/>
  <LinksUpToDate>false</LinksUpToDate>
  <CharactersWithSpaces>17272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2024-03-08T03:23:00Z</dcterms:created>
  <dcterms:modified xsi:type="dcterms:W3CDTF">2024-03-08T03:39:00Z</dcterms:modified>
</cp:coreProperties>
</file>